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426"/>
        <w:jc w:val="both"/>
        <w:spacing w:before="120" w:after="120"/>
        <w:rPr>
          <w:rFonts w:ascii="Times New Roman" w:hAnsi="Times New Roman" w:eastAsia="Calibri"/>
          <w:b/>
          <w:sz w:val="26"/>
          <w:szCs w:val="26"/>
        </w:rPr>
      </w:pPr>
      <w:r>
        <w:rPr>
          <w:rFonts w:ascii="Times New Roman" w:hAnsi="Times New Roman" w:eastAsia="Calibri"/>
          <w:b/>
          <w:sz w:val="26"/>
          <w:szCs w:val="26"/>
        </w:rPr>
      </w:r>
      <w:r>
        <w:rPr>
          <w:rFonts w:ascii="Times New Roman" w:hAnsi="Times New Roman" w:eastAsia="Calibri"/>
          <w:b/>
          <w:sz w:val="26"/>
          <w:szCs w:val="26"/>
        </w:rPr>
      </w:r>
      <w:r>
        <w:rPr>
          <w:rFonts w:ascii="Times New Roman" w:hAnsi="Times New Roman" w:eastAsia="Calibri"/>
          <w:b/>
          <w:sz w:val="26"/>
          <w:szCs w:val="26"/>
        </w:rPr>
      </w:r>
    </w:p>
    <w:p>
      <w:pPr>
        <w:ind w:left="425"/>
        <w:jc w:val="center"/>
        <w:spacing w:before="360" w:after="120"/>
        <w:rPr>
          <w:rFonts w:ascii="Times New Roman" w:hAnsi="Times New Roman" w:eastAsia="Calibri"/>
          <w:b/>
          <w:caps/>
          <w:szCs w:val="24"/>
        </w:rPr>
      </w:pPr>
      <w:r>
        <w:rPr>
          <w:rFonts w:ascii="Times New Roman" w:hAnsi="Times New Roman" w:eastAsia="Calibri"/>
          <w:b/>
          <w:caps/>
          <w:szCs w:val="24"/>
        </w:rPr>
        <w:t xml:space="preserve">ОБОСНОВАНИЕ начальной (максимальной) цены договора</w:t>
      </w:r>
      <w:r>
        <w:rPr>
          <w:rFonts w:ascii="Times New Roman" w:hAnsi="Times New Roman" w:eastAsia="Calibri"/>
          <w:sz w:val="26"/>
          <w:szCs w:val="26"/>
        </w:rPr>
        <w:t xml:space="preserve"> / </w:t>
      </w:r>
      <w:r>
        <w:rPr>
          <w:rFonts w:ascii="Times New Roman" w:hAnsi="Times New Roman" w:eastAsia="Calibri"/>
          <w:b/>
          <w:caps/>
          <w:szCs w:val="24"/>
        </w:rPr>
        <w:t xml:space="preserve">цены единицы товара, работы, услуги</w:t>
      </w:r>
      <w:r>
        <w:rPr>
          <w:rFonts w:ascii="Times New Roman" w:hAnsi="Times New Roman" w:eastAsia="Calibri"/>
          <w:b/>
          <w:caps/>
          <w:szCs w:val="24"/>
        </w:rPr>
      </w:r>
      <w:r>
        <w:rPr>
          <w:rFonts w:ascii="Times New Roman" w:hAnsi="Times New Roman" w:eastAsia="Calibri"/>
          <w:b/>
          <w:caps/>
          <w:szCs w:val="24"/>
        </w:rPr>
      </w:r>
    </w:p>
    <w:p>
      <w:pPr>
        <w:numPr>
          <w:ilvl w:val="0"/>
          <w:numId w:val="7"/>
        </w:numPr>
        <w:ind w:left="714" w:hanging="357"/>
        <w:jc w:val="both"/>
        <w:spacing w:before="120" w:after="120" w:line="360" w:lineRule="exact"/>
        <w:rPr>
          <w:rFonts w:ascii="Times New Roman" w:hAnsi="Times New Roman" w:eastAsia="Calibri"/>
          <w:b/>
          <w:sz w:val="26"/>
          <w:szCs w:val="26"/>
        </w:rPr>
      </w:pPr>
      <w:r>
        <w:rPr>
          <w:rFonts w:ascii="Times New Roman" w:hAnsi="Times New Roman" w:eastAsia="Calibri"/>
          <w:b/>
          <w:sz w:val="26"/>
          <w:szCs w:val="26"/>
        </w:rPr>
        <w:t xml:space="preserve">Общая информация</w:t>
      </w:r>
      <w:r>
        <w:rPr>
          <w:rFonts w:ascii="Times New Roman" w:hAnsi="Times New Roman" w:eastAsia="Calibri"/>
          <w:b/>
          <w:sz w:val="26"/>
          <w:szCs w:val="26"/>
        </w:rPr>
      </w:r>
      <w:r>
        <w:rPr>
          <w:rFonts w:ascii="Times New Roman" w:hAnsi="Times New Roman" w:eastAsia="Calibri"/>
          <w:b/>
          <w:sz w:val="26"/>
          <w:szCs w:val="26"/>
        </w:rPr>
      </w:r>
    </w:p>
    <w:tbl>
      <w:tblPr>
        <w:tblStyle w:val="929"/>
        <w:tblW w:w="995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84"/>
        <w:gridCol w:w="3510"/>
        <w:gridCol w:w="5558"/>
      </w:tblGrid>
      <w:tr>
        <w:tblPrEx/>
        <w:trPr/>
        <w:tc>
          <w:tcPr>
            <w:tcW w:w="884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Calibri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color w:val="auto"/>
                <w:sz w:val="22"/>
                <w:szCs w:val="22"/>
              </w:rPr>
              <w:t xml:space="preserve">№ п/п</w:t>
            </w:r>
            <w:r>
              <w:rPr>
                <w:rFonts w:ascii="Times New Roman" w:hAnsi="Times New Roman" w:eastAsia="Calibri"/>
                <w:color w:val="auto"/>
                <w:sz w:val="22"/>
                <w:szCs w:val="22"/>
              </w:rPr>
            </w:r>
            <w:r>
              <w:rPr>
                <w:rFonts w:ascii="Times New Roman" w:hAnsi="Times New Roman" w:eastAsia="Calibri"/>
                <w:color w:val="auto"/>
                <w:sz w:val="22"/>
                <w:szCs w:val="22"/>
              </w:rPr>
            </w:r>
          </w:p>
        </w:tc>
        <w:tc>
          <w:tcPr>
            <w:tcW w:w="3510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Calibri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color w:val="auto"/>
                <w:sz w:val="22"/>
                <w:szCs w:val="22"/>
              </w:rPr>
              <w:t xml:space="preserve">Наименование</w:t>
            </w:r>
            <w:r>
              <w:rPr>
                <w:rFonts w:ascii="Times New Roman" w:hAnsi="Times New Roman" w:eastAsia="Calibri"/>
                <w:color w:val="auto"/>
                <w:sz w:val="22"/>
                <w:szCs w:val="22"/>
              </w:rPr>
            </w:r>
            <w:r>
              <w:rPr>
                <w:rFonts w:ascii="Times New Roman" w:hAnsi="Times New Roman" w:eastAsia="Calibri"/>
                <w:color w:val="auto"/>
                <w:sz w:val="22"/>
                <w:szCs w:val="22"/>
              </w:rPr>
            </w:r>
          </w:p>
        </w:tc>
        <w:tc>
          <w:tcPr>
            <w:tcW w:w="5558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Calibri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color w:val="auto"/>
                <w:sz w:val="22"/>
                <w:szCs w:val="22"/>
              </w:rPr>
              <w:t xml:space="preserve">Информация по лоту</w:t>
            </w:r>
            <w:r>
              <w:rPr>
                <w:rFonts w:ascii="Times New Roman" w:hAnsi="Times New Roman" w:eastAsia="Calibri"/>
                <w:color w:val="auto"/>
                <w:sz w:val="22"/>
                <w:szCs w:val="22"/>
              </w:rPr>
            </w:r>
            <w:r>
              <w:rPr>
                <w:rFonts w:ascii="Times New Roman" w:hAnsi="Times New Roman" w:eastAsia="Calibri"/>
                <w:color w:val="auto"/>
                <w:sz w:val="22"/>
                <w:szCs w:val="22"/>
              </w:rPr>
            </w:r>
          </w:p>
        </w:tc>
      </w:tr>
      <w:tr>
        <w:tblPrEx/>
        <w:trPr/>
        <w:tc>
          <w:tcPr>
            <w:tcW w:w="884" w:type="dxa"/>
            <w:textDirection w:val="lrTb"/>
            <w:noWrap w:val="false"/>
          </w:tcPr>
          <w:p>
            <w:pPr>
              <w:numPr>
                <w:ilvl w:val="1"/>
                <w:numId w:val="7"/>
              </w:numPr>
              <w:contextualSpacing/>
              <w:ind w:left="0" w:firstLine="0"/>
              <w:spacing w:before="120" w:after="120" w:line="360" w:lineRule="exact"/>
              <w:rPr>
                <w:rFonts w:ascii="Times New Roman" w:hAnsi="Times New Roman" w:eastAsia="Calibri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color w:val="auto"/>
                <w:sz w:val="22"/>
                <w:szCs w:val="22"/>
              </w:rPr>
            </w:r>
            <w:r>
              <w:rPr>
                <w:rFonts w:ascii="Times New Roman" w:hAnsi="Times New Roman" w:eastAsia="Calibri"/>
                <w:color w:val="auto"/>
                <w:sz w:val="22"/>
                <w:szCs w:val="22"/>
              </w:rPr>
            </w:r>
            <w:r>
              <w:rPr>
                <w:rFonts w:ascii="Times New Roman" w:hAnsi="Times New Roman" w:eastAsia="Calibri"/>
                <w:color w:val="auto"/>
                <w:sz w:val="22"/>
                <w:szCs w:val="22"/>
              </w:rPr>
            </w:r>
          </w:p>
        </w:tc>
        <w:tc>
          <w:tcPr>
            <w:tcW w:w="3510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Calibri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color w:val="auto"/>
                <w:sz w:val="22"/>
                <w:szCs w:val="22"/>
              </w:rPr>
              <w:t xml:space="preserve">Наименование лота</w:t>
            </w:r>
            <w:r>
              <w:rPr>
                <w:rFonts w:ascii="Times New Roman" w:hAnsi="Times New Roman" w:eastAsia="Calibri"/>
                <w:color w:val="auto"/>
                <w:sz w:val="22"/>
                <w:szCs w:val="22"/>
              </w:rPr>
            </w:r>
            <w:r>
              <w:rPr>
                <w:rFonts w:ascii="Times New Roman" w:hAnsi="Times New Roman" w:eastAsia="Calibri"/>
                <w:color w:val="auto"/>
                <w:sz w:val="22"/>
                <w:szCs w:val="22"/>
              </w:rPr>
            </w:r>
          </w:p>
        </w:tc>
        <w:tc>
          <w:tcPr>
            <w:shd w:val="clear" w:color="auto" w:fill="auto"/>
            <w:tcW w:w="5558" w:type="dxa"/>
            <w:textDirection w:val="lrTb"/>
            <w:noWrap w:val="false"/>
          </w:tcPr>
          <w:p>
            <w:pPr>
              <w:contextualSpacing w:val="0"/>
              <w:ind w:firstLine="0"/>
              <w:jc w:val="both"/>
              <w:spacing w:before="0"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2"/>
                <w:szCs w:val="22"/>
                <w:highlight w:val="none"/>
                <w:u w:val="none"/>
                <w:vertAlign w:val="baseli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ОКПД2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28.13.14 Поставка насосного оборудования для реализации проекта 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en-US"/>
              </w:rPr>
              <w:t xml:space="preserve">P_505-ПГРЭС-162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 </w:t>
              <w:br/>
              <w:t xml:space="preserve">СП «Партизанская ГРЭС», г. Партизанск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2"/>
                <w:szCs w:val="22"/>
                <w:highlight w:val="none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2"/>
                <w:szCs w:val="22"/>
                <w:highlight w:val="none"/>
                <w:u w:val="none"/>
                <w:vertAlign w:val="baseline"/>
              </w:rPr>
            </w:r>
          </w:p>
        </w:tc>
      </w:tr>
      <w:tr>
        <w:tblPrEx/>
        <w:trPr/>
        <w:tc>
          <w:tcPr>
            <w:tcW w:w="884" w:type="dxa"/>
            <w:textDirection w:val="lrTb"/>
            <w:noWrap w:val="false"/>
          </w:tcPr>
          <w:p>
            <w:pPr>
              <w:numPr>
                <w:ilvl w:val="1"/>
                <w:numId w:val="7"/>
              </w:numPr>
              <w:contextualSpacing/>
              <w:ind w:left="0" w:firstLine="0"/>
              <w:spacing w:before="120" w:after="120" w:line="360" w:lineRule="exact"/>
              <w:rPr>
                <w:rFonts w:ascii="Times New Roman" w:hAnsi="Times New Roman" w:eastAsia="Calibri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color w:val="auto"/>
                <w:sz w:val="22"/>
                <w:szCs w:val="22"/>
              </w:rPr>
            </w:r>
            <w:r>
              <w:rPr>
                <w:rFonts w:ascii="Times New Roman" w:hAnsi="Times New Roman" w:eastAsia="Calibri"/>
                <w:color w:val="auto"/>
                <w:sz w:val="22"/>
                <w:szCs w:val="22"/>
              </w:rPr>
            </w:r>
            <w:r>
              <w:rPr>
                <w:rFonts w:ascii="Times New Roman" w:hAnsi="Times New Roman" w:eastAsia="Calibri"/>
                <w:color w:val="auto"/>
                <w:sz w:val="22"/>
                <w:szCs w:val="22"/>
              </w:rPr>
            </w:r>
          </w:p>
        </w:tc>
        <w:tc>
          <w:tcPr>
            <w:tcW w:w="3510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 xml:space="preserve">Номер лота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</w:r>
          </w:p>
        </w:tc>
        <w:tc>
          <w:tcPr>
            <w:tcW w:w="555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22216043-ТПИР ОТМ-2026-ДГК</w:t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</w:p>
          <w:p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884" w:type="dxa"/>
            <w:textDirection w:val="lrTb"/>
            <w:noWrap w:val="false"/>
          </w:tcPr>
          <w:p>
            <w:pPr>
              <w:numPr>
                <w:ilvl w:val="1"/>
                <w:numId w:val="7"/>
              </w:numPr>
              <w:contextualSpacing/>
              <w:ind w:left="0" w:firstLine="0"/>
              <w:spacing w:before="120" w:after="120" w:line="360" w:lineRule="exact"/>
              <w:rPr>
                <w:rFonts w:ascii="Times New Roman" w:hAnsi="Times New Roman" w:eastAsia="Calibri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color w:val="auto"/>
                <w:sz w:val="22"/>
                <w:szCs w:val="22"/>
              </w:rPr>
            </w:r>
            <w:r>
              <w:rPr>
                <w:rFonts w:ascii="Times New Roman" w:hAnsi="Times New Roman" w:eastAsia="Calibri"/>
                <w:color w:val="auto"/>
                <w:sz w:val="22"/>
                <w:szCs w:val="22"/>
              </w:rPr>
            </w:r>
            <w:r>
              <w:rPr>
                <w:rFonts w:ascii="Times New Roman" w:hAnsi="Times New Roman" w:eastAsia="Calibri"/>
                <w:color w:val="auto"/>
                <w:sz w:val="22"/>
                <w:szCs w:val="22"/>
              </w:rPr>
            </w:r>
          </w:p>
        </w:tc>
        <w:tc>
          <w:tcPr>
            <w:tcW w:w="3510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Calibri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color w:val="auto"/>
                <w:sz w:val="22"/>
                <w:szCs w:val="22"/>
              </w:rPr>
              <w:t xml:space="preserve">НМЦ лота</w:t>
            </w:r>
            <w:r>
              <w:rPr>
                <w:rFonts w:ascii="Times New Roman" w:hAnsi="Times New Roman" w:eastAsia="Calibri"/>
                <w:color w:val="auto"/>
                <w:sz w:val="22"/>
                <w:szCs w:val="22"/>
              </w:rPr>
            </w:r>
            <w:r>
              <w:rPr>
                <w:rFonts w:ascii="Times New Roman" w:hAnsi="Times New Roman" w:eastAsia="Calibri"/>
                <w:color w:val="auto"/>
                <w:sz w:val="22"/>
                <w:szCs w:val="22"/>
              </w:rPr>
            </w:r>
          </w:p>
        </w:tc>
        <w:tc>
          <w:tcPr>
            <w:tcW w:w="5558" w:type="dxa"/>
            <w:textDirection w:val="lrTb"/>
            <w:noWrap w:val="false"/>
          </w:tcPr>
          <w:p>
            <w:pPr>
              <w:spacing w:before="60" w:after="60" w:line="360" w:lineRule="exact"/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 xml:space="preserve">24 673 007,33  рублей без учета НДС</w:t>
            </w:r>
            <w:r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shd w:val="clear" w:color="auto" w:fill="ffff99"/>
              </w:rPr>
            </w:r>
            <w:r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shd w:val="clear" w:color="auto" w:fill="ffff99"/>
              </w:rPr>
            </w:r>
          </w:p>
        </w:tc>
      </w:tr>
    </w:tbl>
    <w:p>
      <w:pPr>
        <w:numPr>
          <w:ilvl w:val="0"/>
          <w:numId w:val="7"/>
        </w:numPr>
        <w:ind w:left="714" w:hanging="357"/>
        <w:jc w:val="both"/>
        <w:spacing w:before="120" w:after="120" w:line="360" w:lineRule="exact"/>
        <w:rPr>
          <w:rFonts w:ascii="Times New Roman" w:hAnsi="Times New Roman" w:eastAsia="Calibri"/>
          <w:b/>
          <w:color w:val="auto"/>
          <w:sz w:val="26"/>
          <w:szCs w:val="26"/>
        </w:rPr>
      </w:pPr>
      <w:r>
        <w:rPr>
          <w:rFonts w:ascii="Times New Roman" w:hAnsi="Times New Roman" w:eastAsia="Calibri"/>
          <w:b/>
          <w:color w:val="auto"/>
          <w:sz w:val="26"/>
          <w:szCs w:val="26"/>
        </w:rPr>
        <w:t xml:space="preserve">Использованный метод (методы) расчета НМЦ / цены единицы товара, работы, услуги:</w:t>
      </w:r>
      <w:r>
        <w:rPr>
          <w:rFonts w:ascii="Times New Roman" w:hAnsi="Times New Roman" w:eastAsia="Calibri"/>
          <w:b/>
          <w:color w:val="auto"/>
          <w:sz w:val="26"/>
          <w:szCs w:val="26"/>
        </w:rPr>
      </w:r>
      <w:r>
        <w:rPr>
          <w:rFonts w:ascii="Times New Roman" w:hAnsi="Times New Roman" w:eastAsia="Calibri"/>
          <w:b/>
          <w:color w:val="auto"/>
          <w:sz w:val="26"/>
          <w:szCs w:val="26"/>
        </w:rPr>
      </w:r>
    </w:p>
    <w:p>
      <w:pPr>
        <w:contextualSpacing/>
        <w:jc w:val="both"/>
        <w:rPr>
          <w:rFonts w:ascii="Times New Roman" w:hAnsi="Times New Roman" w:eastAsia="Calibri"/>
          <w:color w:val="auto"/>
          <w:sz w:val="26"/>
          <w:szCs w:val="26"/>
        </w:rPr>
      </w:pPr>
      <w:r>
        <w:rPr>
          <w:rFonts w:ascii="Times New Roman" w:hAnsi="Times New Roman" w:eastAsia="Calibri"/>
          <w:color w:val="auto"/>
          <w:sz w:val="26"/>
          <w:szCs w:val="26"/>
        </w:rPr>
      </w:r>
      <w:r>
        <w:rPr>
          <w:rFonts w:ascii="Times New Roman" w:hAnsi="Times New Roman" w:eastAsia="Calibri"/>
          <w:color w:val="auto"/>
          <w:sz w:val="26"/>
          <w:szCs w:val="26"/>
        </w:rPr>
      </w:r>
      <w:r>
        <w:rPr>
          <w:rFonts w:ascii="Times New Roman" w:hAnsi="Times New Roman" w:eastAsia="Calibri"/>
          <w:color w:val="auto"/>
          <w:sz w:val="26"/>
          <w:szCs w:val="26"/>
        </w:rPr>
      </w:r>
    </w:p>
    <w:p>
      <w:pPr>
        <w:jc w:val="left"/>
        <w:spacing w:after="120"/>
        <w:rPr>
          <w:rFonts w:ascii="Times New Roman" w:hAnsi="Times New Roman" w:eastAsia="Calibri"/>
          <w:color w:val="auto"/>
          <w:sz w:val="26"/>
          <w:szCs w:val="26"/>
        </w:rPr>
      </w:pPr>
      <w:r>
        <w:rPr>
          <w:rFonts w:hint="cs" w:ascii="Times New Roman" w:hAnsi="Times New Roman" w:eastAsia="Calibri"/>
          <w:color w:val="auto"/>
          <w:sz w:val="26"/>
          <w:szCs w:val="26"/>
        </w:rPr>
        <w:t xml:space="preserve">Метод</w:t>
      </w:r>
      <w:r>
        <w:rPr>
          <w:rFonts w:ascii="Times New Roman" w:hAnsi="Times New Roman" w:eastAsia="Calibri"/>
          <w:color w:val="auto"/>
          <w:sz w:val="26"/>
          <w:szCs w:val="26"/>
        </w:rPr>
        <w:t xml:space="preserve"> анализа технико-коммерческих предложений</w:t>
      </w:r>
      <w:r>
        <w:rPr>
          <w:rFonts w:ascii="Times New Roman" w:hAnsi="Times New Roman" w:eastAsia="Calibri"/>
          <w:color w:val="auto"/>
          <w:sz w:val="26"/>
          <w:szCs w:val="26"/>
        </w:rPr>
        <w:br/>
      </w:r>
      <w:r>
        <w:rPr>
          <w:rFonts w:ascii="Times New Roman" w:hAnsi="Times New Roman" w:eastAsia="Calibri"/>
          <w:color w:val="auto"/>
          <w:sz w:val="26"/>
          <w:szCs w:val="26"/>
        </w:rPr>
        <w:t xml:space="preserve">Обоснование расчета НМЦ:</w:t>
      </w:r>
      <w:bookmarkStart w:id="0" w:name="_GoBack"/>
      <w:r>
        <w:rPr>
          <w:color w:val="auto"/>
        </w:rPr>
      </w:r>
      <w:bookmarkEnd w:id="0"/>
      <w:r>
        <w:rPr>
          <w:rFonts w:ascii="Times New Roman" w:hAnsi="Times New Roman" w:eastAsia="Calibri"/>
          <w:color w:val="auto"/>
          <w:sz w:val="26"/>
          <w:szCs w:val="26"/>
        </w:rPr>
      </w:r>
      <w:r>
        <w:rPr>
          <w:rFonts w:ascii="Times New Roman" w:hAnsi="Times New Roman" w:eastAsia="Calibri"/>
          <w:color w:val="auto"/>
          <w:sz w:val="26"/>
          <w:szCs w:val="26"/>
        </w:rPr>
      </w:r>
    </w:p>
    <w:p>
      <w:pPr>
        <w:jc w:val="both"/>
        <w:spacing w:after="120"/>
        <w:rPr>
          <w:rFonts w:ascii="Times New Roman" w:hAnsi="Times New Roman" w:eastAsia="Calibri"/>
          <w:color w:val="0070c0"/>
          <w:sz w:val="26"/>
          <w:szCs w:val="26"/>
        </w:rPr>
      </w:pPr>
      <w:r>
        <w:rPr>
          <w:rFonts w:ascii="Times New Roman" w:hAnsi="Times New Roman" w:eastAsia="Calibri"/>
          <w:color w:val="0070c0"/>
          <w:sz w:val="26"/>
          <w:szCs w:val="26"/>
        </w:rPr>
      </w:r>
      <w:r>
        <w:rPr>
          <w:rFonts w:ascii="Times New Roman" w:hAnsi="Times New Roman" w:eastAsia="Calibri"/>
          <w:color w:val="0070c0"/>
          <w:sz w:val="26"/>
          <w:szCs w:val="26"/>
        </w:rPr>
      </w:r>
      <w:r>
        <w:rPr>
          <w:rFonts w:ascii="Times New Roman" w:hAnsi="Times New Roman" w:eastAsia="Calibri"/>
          <w:color w:val="0070c0"/>
          <w:sz w:val="26"/>
          <w:szCs w:val="26"/>
        </w:rPr>
      </w:r>
    </w:p>
    <w:tbl>
      <w:tblPr>
        <w:tblW w:w="9955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302"/>
        <w:gridCol w:w="1984"/>
        <w:gridCol w:w="1701"/>
        <w:gridCol w:w="1984"/>
        <w:gridCol w:w="1984"/>
      </w:tblGrid>
      <w:tr>
        <w:tblPrEx/>
        <w:trPr>
          <w:trHeight w:val="70"/>
        </w:trPr>
        <w:tc>
          <w:tcPr>
            <w:shd w:val="clear" w:color="000000" w:fill="e7e6e6"/>
            <w:tcW w:w="230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bCs/>
                <w:color w:val="auto"/>
                <w:sz w:val="20"/>
              </w:rPr>
            </w:pPr>
            <w:r>
              <w:rPr>
                <w:rFonts w:ascii="Times New Roman" w:hAnsi="Times New Roman" w:eastAsia="Times New Roman"/>
                <w:b/>
                <w:bCs/>
                <w:color w:val="auto"/>
                <w:sz w:val="20"/>
                <w:lang w:eastAsia="ru-RU"/>
              </w:rPr>
              <w:t xml:space="preserve">Наименование товара/ работы/ услуги в составе лота</w:t>
            </w:r>
            <w:r>
              <w:rPr>
                <w:rFonts w:ascii="Times New Roman" w:hAnsi="Times New Roman" w:eastAsia="Times New Roman"/>
                <w:b/>
                <w:bCs/>
                <w:color w:val="auto"/>
                <w:sz w:val="20"/>
              </w:rPr>
            </w:r>
            <w:r>
              <w:rPr>
                <w:rFonts w:ascii="Times New Roman" w:hAnsi="Times New Roman" w:eastAsia="Times New Roman"/>
                <w:b/>
                <w:bCs/>
                <w:color w:val="auto"/>
                <w:sz w:val="20"/>
              </w:rPr>
            </w:r>
          </w:p>
        </w:tc>
        <w:tc>
          <w:tcPr>
            <w:shd w:val="clear" w:color="000000" w:fill="e7e6e6"/>
            <w:tcW w:w="198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bCs/>
                <w:color w:val="auto"/>
                <w:sz w:val="20"/>
              </w:rPr>
            </w:pPr>
            <w:r>
              <w:rPr>
                <w:rFonts w:ascii="Times New Roman" w:hAnsi="Times New Roman" w:eastAsia="Times New Roman"/>
                <w:b/>
                <w:bCs/>
                <w:color w:val="auto"/>
                <w:sz w:val="20"/>
                <w:lang w:eastAsia="ru-RU"/>
              </w:rPr>
              <w:t xml:space="preserve">Наименование источника ценовой информации (ИЦИ)</w:t>
            </w:r>
            <w:r>
              <w:rPr>
                <w:rFonts w:ascii="Times New Roman" w:hAnsi="Times New Roman" w:eastAsia="Times New Roman"/>
                <w:b/>
                <w:bCs/>
                <w:color w:val="auto"/>
                <w:sz w:val="20"/>
              </w:rPr>
            </w:r>
            <w:r>
              <w:rPr>
                <w:rFonts w:ascii="Times New Roman" w:hAnsi="Times New Roman" w:eastAsia="Times New Roman"/>
                <w:b/>
                <w:bCs/>
                <w:color w:val="auto"/>
                <w:sz w:val="20"/>
              </w:rPr>
            </w:r>
          </w:p>
        </w:tc>
        <w:tc>
          <w:tcPr>
            <w:shd w:val="clear" w:color="000000" w:fill="e7e6e6"/>
            <w:tcW w:w="17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bCs/>
                <w:color w:val="auto"/>
                <w:sz w:val="20"/>
              </w:rPr>
            </w:pPr>
            <w:r>
              <w:rPr>
                <w:rFonts w:hint="cs" w:ascii="Times New Roman" w:hAnsi="Times New Roman" w:eastAsia="Times New Roman"/>
                <w:b/>
                <w:bCs/>
                <w:color w:val="auto"/>
                <w:sz w:val="20"/>
                <w:lang w:eastAsia="ru-RU"/>
              </w:rPr>
              <w:t xml:space="preserve">Цена</w:t>
            </w:r>
            <w:r>
              <w:rPr>
                <w:rFonts w:ascii="Times New Roman" w:hAnsi="Times New Roman" w:eastAsia="Times New Roman"/>
                <w:b/>
                <w:bCs/>
                <w:color w:val="auto"/>
                <w:sz w:val="20"/>
                <w:lang w:eastAsia="ru-RU"/>
              </w:rPr>
              <w:t xml:space="preserve"> </w:t>
            </w:r>
            <w:r>
              <w:rPr>
                <w:rFonts w:hint="cs" w:ascii="Times New Roman" w:hAnsi="Times New Roman" w:eastAsia="Times New Roman"/>
                <w:b/>
                <w:bCs/>
                <w:color w:val="auto"/>
                <w:sz w:val="20"/>
                <w:lang w:eastAsia="ru-RU"/>
              </w:rPr>
              <w:t xml:space="preserve">за</w:t>
            </w:r>
            <w:r>
              <w:rPr>
                <w:rFonts w:ascii="Times New Roman" w:hAnsi="Times New Roman" w:eastAsia="Times New Roman"/>
                <w:b/>
                <w:bCs/>
                <w:color w:val="auto"/>
                <w:sz w:val="20"/>
                <w:lang w:eastAsia="ru-RU"/>
              </w:rPr>
              <w:t xml:space="preserve"> </w:t>
            </w:r>
            <w:r>
              <w:rPr>
                <w:rFonts w:hint="cs" w:ascii="Times New Roman" w:hAnsi="Times New Roman" w:eastAsia="Times New Roman"/>
                <w:b/>
                <w:bCs/>
                <w:color w:val="auto"/>
                <w:sz w:val="20"/>
                <w:lang w:eastAsia="ru-RU"/>
              </w:rPr>
              <w:t xml:space="preserve">единицу</w:t>
            </w:r>
            <w:r>
              <w:rPr>
                <w:rFonts w:ascii="Times New Roman" w:hAnsi="Times New Roman" w:eastAsia="Times New Roman"/>
                <w:b/>
                <w:bCs/>
                <w:color w:val="auto"/>
                <w:sz w:val="20"/>
                <w:lang w:eastAsia="ru-RU"/>
              </w:rPr>
              <w:t xml:space="preserve">, </w:t>
            </w:r>
            <w:r>
              <w:rPr>
                <w:rFonts w:hint="cs" w:ascii="Times New Roman" w:hAnsi="Times New Roman" w:eastAsia="Times New Roman"/>
                <w:b/>
                <w:bCs/>
                <w:color w:val="auto"/>
                <w:sz w:val="20"/>
                <w:lang w:eastAsia="ru-RU"/>
              </w:rPr>
              <w:t xml:space="preserve">в</w:t>
            </w:r>
            <w:r>
              <w:rPr>
                <w:rFonts w:ascii="Times New Roman" w:hAnsi="Times New Roman" w:eastAsia="Times New Roman"/>
                <w:b/>
                <w:bCs/>
                <w:color w:val="auto"/>
                <w:sz w:val="20"/>
                <w:lang w:eastAsia="ru-RU"/>
              </w:rPr>
              <w:t xml:space="preserve"> </w:t>
            </w:r>
            <w:r>
              <w:rPr>
                <w:rFonts w:hint="cs" w:ascii="Times New Roman" w:hAnsi="Times New Roman" w:eastAsia="Times New Roman"/>
                <w:b/>
                <w:bCs/>
                <w:color w:val="auto"/>
                <w:sz w:val="20"/>
                <w:lang w:eastAsia="ru-RU"/>
              </w:rPr>
              <w:t xml:space="preserve">руб</w:t>
            </w:r>
            <w:r>
              <w:rPr>
                <w:rFonts w:ascii="Times New Roman" w:hAnsi="Times New Roman" w:eastAsia="Times New Roman"/>
                <w:b/>
                <w:bCs/>
                <w:color w:val="auto"/>
                <w:sz w:val="20"/>
                <w:lang w:eastAsia="ru-RU"/>
              </w:rPr>
              <w:t xml:space="preserve">. </w:t>
            </w:r>
            <w:r>
              <w:rPr>
                <w:rFonts w:hint="cs" w:ascii="Times New Roman" w:hAnsi="Times New Roman" w:eastAsia="Times New Roman"/>
                <w:b/>
                <w:bCs/>
                <w:color w:val="auto"/>
                <w:sz w:val="20"/>
                <w:lang w:eastAsia="ru-RU"/>
              </w:rPr>
              <w:t xml:space="preserve">без</w:t>
            </w:r>
            <w:r>
              <w:rPr>
                <w:rFonts w:ascii="Times New Roman" w:hAnsi="Times New Roman" w:eastAsia="Times New Roman"/>
                <w:b/>
                <w:bCs/>
                <w:color w:val="auto"/>
                <w:sz w:val="20"/>
                <w:lang w:eastAsia="ru-RU"/>
              </w:rPr>
              <w:t xml:space="preserve"> </w:t>
            </w:r>
            <w:r>
              <w:rPr>
                <w:rFonts w:hint="cs" w:ascii="Times New Roman" w:hAnsi="Times New Roman" w:eastAsia="Times New Roman"/>
                <w:b/>
                <w:bCs/>
                <w:color w:val="auto"/>
                <w:sz w:val="20"/>
                <w:lang w:eastAsia="ru-RU"/>
              </w:rPr>
              <w:t xml:space="preserve">НДС</w:t>
            </w:r>
            <w:r>
              <w:rPr>
                <w:rFonts w:ascii="Times New Roman" w:hAnsi="Times New Roman" w:eastAsia="Times New Roman"/>
                <w:b/>
                <w:bCs/>
                <w:color w:val="auto"/>
                <w:sz w:val="20"/>
              </w:rPr>
            </w:r>
            <w:r>
              <w:rPr>
                <w:rFonts w:ascii="Times New Roman" w:hAnsi="Times New Roman" w:eastAsia="Times New Roman"/>
                <w:b/>
                <w:bCs/>
                <w:color w:val="auto"/>
                <w:sz w:val="20"/>
              </w:rPr>
            </w:r>
          </w:p>
        </w:tc>
        <w:tc>
          <w:tcPr>
            <w:shd w:val="clear" w:color="000000" w:fill="e7e6e6"/>
            <w:tcW w:w="198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bCs/>
                <w:color w:val="auto"/>
                <w:sz w:val="20"/>
              </w:rPr>
            </w:pPr>
            <w:r>
              <w:rPr>
                <w:rFonts w:ascii="Times New Roman" w:hAnsi="Times New Roman" w:eastAsia="Times New Roman"/>
                <w:b/>
                <w:bCs/>
                <w:color w:val="auto"/>
                <w:sz w:val="20"/>
                <w:lang w:eastAsia="ru-RU"/>
              </w:rPr>
              <w:t xml:space="preserve">Цена итоговая</w:t>
            </w:r>
            <w:r>
              <w:rPr>
                <w:rFonts w:ascii="Times New Roman" w:hAnsi="Times New Roman" w:eastAsia="Times New Roman"/>
                <w:b/>
                <w:bCs/>
                <w:color w:val="auto"/>
                <w:sz w:val="20"/>
                <w:vertAlign w:val="superscript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/>
                <w:b/>
                <w:bCs/>
                <w:color w:val="auto"/>
                <w:sz w:val="20"/>
                <w:lang w:eastAsia="ru-RU"/>
              </w:rPr>
              <w:t xml:space="preserve">, в руб. без НДС</w:t>
            </w:r>
            <w:r>
              <w:rPr>
                <w:rFonts w:ascii="Times New Roman" w:hAnsi="Times New Roman" w:eastAsia="Times New Roman"/>
                <w:b/>
                <w:bCs/>
                <w:color w:val="auto"/>
                <w:sz w:val="20"/>
              </w:rPr>
            </w:r>
            <w:r>
              <w:rPr>
                <w:rFonts w:ascii="Times New Roman" w:hAnsi="Times New Roman" w:eastAsia="Times New Roman"/>
                <w:b/>
                <w:bCs/>
                <w:color w:val="auto"/>
                <w:sz w:val="20"/>
              </w:rPr>
            </w:r>
          </w:p>
        </w:tc>
        <w:tc>
          <w:tcPr>
            <w:shd w:val="clear" w:color="000000" w:fill="e7e6e6"/>
            <w:tcW w:w="198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bCs/>
                <w:color w:val="auto"/>
                <w:sz w:val="20"/>
              </w:rPr>
            </w:pPr>
            <w:r>
              <w:rPr>
                <w:rFonts w:ascii="Times New Roman" w:hAnsi="Times New Roman" w:eastAsia="Times New Roman"/>
                <w:b/>
                <w:bCs/>
                <w:color w:val="auto"/>
                <w:sz w:val="20"/>
                <w:lang w:eastAsia="ru-RU"/>
              </w:rPr>
              <w:t xml:space="preserve">Комментарии </w:t>
            </w:r>
            <w:r>
              <w:rPr>
                <w:rFonts w:ascii="Times New Roman" w:hAnsi="Times New Roman" w:eastAsia="Times New Roman"/>
                <w:b/>
                <w:bCs/>
                <w:color w:val="auto"/>
                <w:sz w:val="20"/>
              </w:rPr>
            </w:r>
            <w:r>
              <w:rPr>
                <w:rFonts w:ascii="Times New Roman" w:hAnsi="Times New Roman" w:eastAsia="Times New Roman"/>
                <w:b/>
                <w:bCs/>
                <w:color w:val="auto"/>
                <w:sz w:val="20"/>
              </w:rPr>
            </w:r>
          </w:p>
        </w:tc>
      </w:tr>
      <w:tr>
        <w:tblPrEx/>
        <w:trPr>
          <w:trHeight w:val="1250"/>
        </w:trPr>
        <w:tc>
          <w:tcPr>
            <w:tcW w:w="2302" w:type="dxa"/>
            <w:vMerge w:val="restart"/>
            <w:textDirection w:val="lrTb"/>
            <w:noWrap w:val="false"/>
          </w:tcPr>
          <w:p>
            <w:pPr>
              <w:contextualSpacing w:val="0"/>
              <w:ind w:firstLine="0"/>
              <w:jc w:val="both"/>
              <w:spacing w:before="0"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2"/>
                <w:szCs w:val="22"/>
                <w:highlight w:val="none"/>
                <w:u w:val="none"/>
                <w:vertAlign w:val="baseli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ОКПД2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28.13.14 Поставка насосного оборудования для реализации проекта 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en-US"/>
              </w:rPr>
              <w:t xml:space="preserve">P_505-ПГРЭС-162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 СП «Партизанская ГРЭС», г. Партизанск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2"/>
                <w:szCs w:val="22"/>
                <w:highlight w:val="none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2"/>
                <w:szCs w:val="22"/>
                <w:highlight w:val="none"/>
                <w:u w:val="none"/>
                <w:vertAlign w:val="baseline"/>
              </w:rPr>
            </w:r>
          </w:p>
        </w:tc>
        <w:tc>
          <w:tcPr>
            <w:shd w:val="clear" w:color="auto" w:fill="auto"/>
            <w:tcW w:w="198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ТКП № 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  <w:t xml:space="preserve">25 200 000,00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right w:val="single" w:color="auto" w:sz="4" w:space="0"/>
            </w:tcBorders>
            <w:tcW w:w="1984" w:type="dxa"/>
            <w:vAlign w:val="top"/>
            <w:vMerge w:val="restart"/>
            <w:textDirection w:val="lrTb"/>
            <w:noWrap w:val="false"/>
          </w:tcPr>
          <w:p>
            <w:pPr>
              <w:spacing w:before="0" w:beforeAutospacing="0" w:after="0" w:afterAutospacing="0"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highlight w:val="none"/>
              </w:rPr>
            </w:r>
          </w:p>
          <w:p>
            <w:pPr>
              <w:spacing w:before="0" w:beforeAutospacing="0" w:after="0" w:afterAutospacing="0"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highlight w:val="none"/>
              </w:rPr>
            </w:r>
          </w:p>
          <w:p>
            <w:pPr>
              <w:spacing w:before="0" w:beforeAutospacing="0" w:after="0" w:afterAutospacing="0"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highlight w:val="none"/>
              </w:rPr>
            </w:r>
          </w:p>
          <w:p>
            <w:pPr>
              <w:spacing w:before="0" w:beforeAutospacing="0" w:after="0" w:afterAutospacing="0"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highlight w:val="none"/>
              </w:rPr>
            </w:r>
          </w:p>
          <w:p>
            <w:pPr>
              <w:spacing w:before="0" w:beforeAutospacing="0" w:after="0" w:afterAutospacing="0"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highlight w:val="none"/>
              </w:rPr>
            </w:r>
          </w:p>
          <w:p>
            <w:pPr>
              <w:spacing w:before="0" w:beforeAutospacing="0" w:after="0" w:afterAutospacing="0"/>
              <w:rPr>
                <w:rFonts w:ascii="Times New Roman" w:hAnsi="Times New Roman" w:eastAsia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Среднее арифметическое значение полученных ТКП:</w:t>
            </w:r>
            <w:r>
              <w:rPr>
                <w:rFonts w:ascii="Times New Roman" w:hAnsi="Times New Roman" w:eastAsia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highlight w:val="none"/>
              </w:rPr>
            </w:r>
          </w:p>
          <w:p>
            <w:pPr>
              <w:spacing w:before="0" w:beforeAutospacing="0" w:after="0" w:afterAutospacing="0"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 xml:space="preserve">24 673 007,33</w:t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right w:val="single" w:color="000000" w:sz="4" w:space="0"/>
            </w:tcBorders>
            <w:tcW w:w="1984" w:type="dxa"/>
            <w:vAlign w:val="top"/>
            <w:vMerge w:val="restart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blPrEx/>
        <w:trPr>
          <w:trHeight w:val="1532"/>
        </w:trPr>
        <w:tc>
          <w:tcPr>
            <w:tcW w:w="2302" w:type="dxa"/>
            <w:vMerge w:val="continue"/>
            <w:textDirection w:val="lrTb"/>
            <w:noWrap w:val="false"/>
          </w:tcPr>
          <w:p>
            <w:pPr>
              <w:contextualSpacing w:val="0"/>
              <w:ind w:firstLine="0"/>
              <w:jc w:val="both"/>
              <w:spacing w:before="0"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</w:r>
          </w:p>
        </w:tc>
        <w:tc>
          <w:tcPr>
            <w:shd w:val="clear" w:color="ffffff" w:fill="ffffff"/>
            <w:tcW w:w="198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ТКП № 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23 570 000,00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right w:val="single" w:color="000000" w:sz="4" w:space="0"/>
            </w:tcBorders>
            <w:tcW w:w="1984" w:type="dxa"/>
            <w:vAlign w:val="top"/>
            <w:vMerge w:val="continue"/>
            <w:textDirection w:val="lrTb"/>
            <w:noWrap w:val="false"/>
          </w:tcPr>
          <w:p>
            <w:pPr>
              <w:spacing w:before="0" w:beforeAutospacing="0" w:after="0" w:afterAutospacing="0"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right w:val="single" w:color="000000" w:sz="4" w:space="0"/>
            </w:tcBorders>
            <w:tcW w:w="1984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532"/>
        </w:trPr>
        <w:tc>
          <w:tcPr>
            <w:tcW w:w="2302" w:type="dxa"/>
            <w:vMerge w:val="continue"/>
            <w:textDirection w:val="lrTb"/>
            <w:noWrap w:val="false"/>
          </w:tcPr>
          <w:p>
            <w:pPr>
              <w:contextualSpacing w:val="0"/>
              <w:ind w:firstLine="0"/>
              <w:jc w:val="both"/>
              <w:spacing w:before="0"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</w:r>
          </w:p>
        </w:tc>
        <w:tc>
          <w:tcPr>
            <w:shd w:val="clear" w:color="ffffff" w:fill="ffffff"/>
            <w:tcW w:w="198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ТКП  № 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25 249 022,00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right w:val="single" w:color="000000" w:sz="4" w:space="0"/>
            </w:tcBorders>
            <w:tcW w:w="1984" w:type="dxa"/>
            <w:vAlign w:val="top"/>
            <w:vMerge w:val="continue"/>
            <w:textDirection w:val="lrTb"/>
            <w:noWrap w:val="false"/>
          </w:tcPr>
          <w:p>
            <w:pPr>
              <w:spacing w:before="0" w:beforeAutospacing="0" w:after="0" w:afterAutospacing="0"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right w:val="single" w:color="000000" w:sz="4" w:space="0"/>
            </w:tcBorders>
            <w:tcW w:w="1984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</w:tr>
    </w:tbl>
    <w:p>
      <w:pPr>
        <w:contextualSpacing/>
        <w:jc w:val="both"/>
        <w:rPr>
          <w:rFonts w:ascii="Times New Roman" w:hAnsi="Times New Roman" w:eastAsia="Calibri"/>
          <w:color w:val="0070c0"/>
          <w:sz w:val="26"/>
          <w:szCs w:val="26"/>
        </w:rPr>
      </w:pPr>
      <w:r>
        <w:rPr>
          <w:rFonts w:ascii="Times New Roman" w:hAnsi="Times New Roman" w:eastAsia="Calibri"/>
          <w:color w:val="0070c0"/>
          <w:sz w:val="26"/>
          <w:szCs w:val="26"/>
        </w:rPr>
      </w:r>
      <w:r>
        <w:rPr>
          <w:rFonts w:ascii="Times New Roman" w:hAnsi="Times New Roman" w:eastAsia="Calibri"/>
          <w:color w:val="0070c0"/>
          <w:sz w:val="26"/>
          <w:szCs w:val="26"/>
        </w:rPr>
      </w:r>
      <w:r>
        <w:rPr>
          <w:rFonts w:ascii="Times New Roman" w:hAnsi="Times New Roman" w:eastAsia="Calibri"/>
          <w:color w:val="0070c0"/>
          <w:sz w:val="26"/>
          <w:szCs w:val="26"/>
        </w:rPr>
      </w:r>
    </w:p>
    <w:p>
      <w:pPr>
        <w:contextualSpacing/>
        <w:jc w:val="both"/>
        <w:rPr>
          <w:rFonts w:ascii="Times New Roman" w:hAnsi="Times New Roman" w:eastAsia="Calibri"/>
          <w:color w:val="0070c0"/>
          <w:sz w:val="26"/>
          <w:szCs w:val="26"/>
        </w:rPr>
      </w:pPr>
      <w:r>
        <w:rPr>
          <w:rFonts w:ascii="Times New Roman" w:hAnsi="Times New Roman" w:eastAsia="Calibri"/>
          <w:color w:val="0070c0"/>
          <w:sz w:val="26"/>
          <w:szCs w:val="26"/>
        </w:rPr>
      </w:r>
      <w:r>
        <w:rPr>
          <w:rFonts w:ascii="Times New Roman" w:hAnsi="Times New Roman" w:eastAsia="Calibri"/>
          <w:color w:val="0070c0"/>
          <w:sz w:val="26"/>
          <w:szCs w:val="26"/>
        </w:rPr>
      </w:r>
      <w:r>
        <w:rPr>
          <w:rFonts w:ascii="Times New Roman" w:hAnsi="Times New Roman" w:eastAsia="Calibri"/>
          <w:color w:val="0070c0"/>
          <w:sz w:val="26"/>
          <w:szCs w:val="26"/>
        </w:rPr>
      </w:r>
    </w:p>
    <w:p>
      <w:pPr>
        <w:contextualSpacing/>
        <w:jc w:val="left"/>
        <w:rPr>
          <w:rFonts w:ascii="Times New Roman" w:hAnsi="Times New Roman" w:eastAsia="Calibri"/>
          <w:color w:val="000000" w:themeColor="text1"/>
          <w:sz w:val="26"/>
          <w:szCs w:val="26"/>
        </w:rPr>
      </w:pPr>
      <w:r>
        <w:rPr>
          <w:rFonts w:ascii="Times New Roman" w:hAnsi="Times New Roman" w:eastAsia="Calibri"/>
          <w:color w:val="000000" w:themeColor="text1"/>
          <w:sz w:val="26"/>
          <w:szCs w:val="26"/>
        </w:rPr>
        <w:t xml:space="preserve">Начальник УМТО</w:t>
      </w:r>
      <w:r>
        <w:rPr>
          <w:rFonts w:ascii="Times New Roman" w:hAnsi="Times New Roman" w:eastAsia="Calibri"/>
          <w:color w:val="000000" w:themeColor="text1"/>
          <w:sz w:val="26"/>
          <w:szCs w:val="26"/>
        </w:rPr>
        <w:t xml:space="preserve">                                                                                            А.Ю. Качан</w:t>
      </w:r>
      <w:r>
        <w:rPr>
          <w:rFonts w:ascii="Times New Roman" w:hAnsi="Times New Roman" w:eastAsia="Calibri"/>
          <w:color w:val="000000" w:themeColor="text1"/>
          <w:sz w:val="26"/>
          <w:szCs w:val="26"/>
        </w:rPr>
        <w:t xml:space="preserve">          </w:t>
      </w:r>
      <w:r>
        <w:rPr>
          <w:rFonts w:ascii="Times New Roman" w:hAnsi="Times New Roman" w:eastAsia="Calibri"/>
          <w:color w:val="000000" w:themeColor="text1"/>
          <w:sz w:val="26"/>
          <w:szCs w:val="26"/>
        </w:rPr>
      </w:r>
      <w:r>
        <w:rPr>
          <w:rFonts w:ascii="Times New Roman" w:hAnsi="Times New Roman" w:eastAsia="Calibri"/>
          <w:color w:val="000000" w:themeColor="text1"/>
          <w:sz w:val="26"/>
          <w:szCs w:val="26"/>
        </w:rPr>
      </w:r>
    </w:p>
    <w:sectPr>
      <w:headerReference w:type="default" r:id="rId9"/>
      <w:headerReference w:type="even" r:id="rId10"/>
      <w:footnotePr/>
      <w:endnotePr/>
      <w:type w:val="nextPage"/>
      <w:pgSz w:w="11906" w:h="16838" w:orient="portrait"/>
      <w:pgMar w:top="851" w:right="709" w:bottom="1134" w:left="1701" w:header="964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409020205020404"/>
  </w:font>
  <w:font w:name="Symbol">
    <w:panose1 w:val="05010000000000000000"/>
  </w:font>
  <w:font w:name="Calibri">
    <w:panose1 w:val="020F0502020204030204"/>
  </w:font>
  <w:font w:name="Geneva CY">
    <w:panose1 w:val="02000603000000000000"/>
  </w:font>
  <w:font w:name="Arial">
    <w:panose1 w:val="020B0604020202020204"/>
  </w:font>
  <w:font w:name="MS Mincho">
    <w:panose1 w:val="020606060503050B0204"/>
  </w:font>
  <w:font w:name="Times New Roman">
    <w:panose1 w:val="02020603050405020304"/>
  </w:font>
  <w:font w:name="Lucida Grande">
    <w:panose1 w:val="02000603000000000000"/>
  </w:font>
  <w:font w:name="Geneva">
    <w:panose1 w:val="02000603000000000000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802148666"/>
      <w:docPartObj>
        <w:docPartGallery w:val="Page Numbers (Top of Page)"/>
        <w:docPartUnique w:val="true"/>
      </w:docPartObj>
      <w:rPr/>
    </w:sdtPr>
    <w:sdtContent>
      <w:p>
        <w:pPr>
          <w:pStyle w:val="916"/>
          <w:jc w:val="center"/>
          <w:rPr>
            <w:rFonts w:ascii="Times New Roman" w:hAnsi="Times New Roman"/>
          </w:rPr>
        </w:pP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 xml:space="preserve">PAGE   \* MERGEFORMAT</w:instrText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</w:rPr>
          <w:t xml:space="preserve">2</w:t>
        </w:r>
        <w:r>
          <w:rPr>
            <w:rFonts w:ascii="Times New Roman" w:hAnsi="Times New Roman"/>
          </w:rPr>
          <w:fldChar w:fldCharType="end"/>
        </w:r>
        <w:r>
          <w:rPr>
            <w:rFonts w:ascii="Times New Roman" w:hAnsi="Times New Roman"/>
          </w:rPr>
        </w:r>
        <w:r>
          <w:rPr>
            <w:rFonts w:ascii="Times New Roman" w:hAnsi="Times New Roman"/>
          </w:rPr>
        </w:r>
      </w:p>
    </w:sdtContent>
  </w:sdt>
  <w:p>
    <w:pPr>
      <w:pStyle w:val="916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16"/>
      <w:rPr>
        <w:rStyle w:val="918"/>
      </w:rPr>
      <w:framePr w:wrap="around" w:vAnchor="text" w:hAnchor="margin" w:xAlign="center" w:y="1"/>
    </w:pPr>
    <w:r>
      <w:rPr>
        <w:rStyle w:val="918"/>
      </w:rPr>
      <w:fldChar w:fldCharType="begin"/>
    </w:r>
    <w:r>
      <w:rPr>
        <w:rStyle w:val="918"/>
      </w:rPr>
      <w:instrText xml:space="preserve">PAGE  </w:instrText>
    </w:r>
    <w:r>
      <w:rPr>
        <w:rStyle w:val="918"/>
      </w:rPr>
      <w:fldChar w:fldCharType="end"/>
    </w:r>
    <w:r>
      <w:rPr>
        <w:rStyle w:val="918"/>
      </w:rPr>
    </w:r>
    <w:r>
      <w:rPr>
        <w:rStyle w:val="918"/>
      </w:rPr>
    </w:r>
  </w:p>
  <w:p>
    <w:pPr>
      <w:pStyle w:val="916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287" w:hanging="72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 w:ascii="Times New Roman" w:hAnsi="Times New Roman" w:cs="Times New Roman"/>
      </w:rPr>
    </w:lvl>
    <w:lvl w:ilvl="1">
      <w:start w:val="1"/>
      <w:numFmt w:val="decimal"/>
      <w:isLgl/>
      <w:suff w:val="tab"/>
      <w:lvlText w:val="%1.%2."/>
      <w:lvlJc w:val="left"/>
      <w:pPr>
        <w:ind w:left="1287" w:hanging="72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1647" w:hanging="1080"/>
      </w:pPr>
      <w:rPr>
        <w:rFonts w:hint="default"/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1647" w:hanging="1080"/>
      </w:pPr>
      <w:rPr>
        <w:rFonts w:hint="default"/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2007" w:hanging="1440"/>
      </w:pPr>
      <w:rPr>
        <w:rFonts w:hint="default"/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2367" w:hanging="1800"/>
      </w:pPr>
      <w:rPr>
        <w:rFonts w:hint="default"/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367" w:hanging="1800"/>
      </w:pPr>
      <w:rPr>
        <w:rFonts w:hint="default"/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727" w:hanging="2160"/>
      </w:pPr>
      <w:rPr>
        <w:rFonts w:hint="default"/>
        <w:b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4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6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8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60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2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4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6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8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200" w:hanging="180"/>
      </w:p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34" w:hanging="360"/>
      </w:pPr>
      <w:rPr>
        <w:rFonts w:hint="default" w:ascii="Symbol" w:hAnsi="Symbol"/>
        <w:color w:val="808080" w:themeColor="background1" w:themeShade="80"/>
      </w:rPr>
    </w:lvl>
    <w:lvl w:ilvl="1">
      <w:start w:val="1"/>
      <w:numFmt w:val="bullet"/>
      <w:isLgl w:val="false"/>
      <w:suff w:val="tab"/>
      <w:lvlText w:val="o"/>
      <w:lvlJc w:val="left"/>
      <w:pPr>
        <w:ind w:left="175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7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9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1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3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5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7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94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 w:ascii="Times New Roman" w:hAnsi="Times New Roman" w:cs="Times New Roman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11"/>
  </w:num>
  <w:num w:numId="4">
    <w:abstractNumId w:val="3"/>
  </w:num>
  <w:num w:numId="5">
    <w:abstractNumId w:val="0"/>
  </w:num>
  <w:num w:numId="6">
    <w:abstractNumId w:val="9"/>
  </w:num>
  <w:num w:numId="7">
    <w:abstractNumId w:val="6"/>
  </w:num>
  <w:num w:numId="8">
    <w:abstractNumId w:val="7"/>
  </w:num>
  <w:num w:numId="9">
    <w:abstractNumId w:val="8"/>
  </w:num>
  <w:num w:numId="10">
    <w:abstractNumId w:val="14"/>
  </w:num>
  <w:num w:numId="11">
    <w:abstractNumId w:val="2"/>
  </w:num>
  <w:num w:numId="12">
    <w:abstractNumId w:val="5"/>
  </w:num>
  <w:num w:numId="13">
    <w:abstractNumId w:val="1"/>
  </w:num>
  <w:num w:numId="14">
    <w:abstractNumId w:val="12"/>
  </w:num>
  <w:num w:numId="15">
    <w:abstractNumId w:val="13"/>
  </w:num>
  <w:num w:numId="16">
    <w:abstractNumId w:val="10"/>
  </w:num>
  <w:num w:numId="17">
    <w:abstractNumId w:val="16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mbria" w:hAnsi="Cambria" w:eastAsia="MS Mincho" w:cs="Times New Roman"/>
        <w:lang w:val="en-US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41">
    <w:name w:val="Heading 1"/>
    <w:basedOn w:val="912"/>
    <w:next w:val="912"/>
    <w:link w:val="742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42">
    <w:name w:val="Heading 1 Char"/>
    <w:basedOn w:val="913"/>
    <w:link w:val="741"/>
    <w:uiPriority w:val="9"/>
    <w:rPr>
      <w:rFonts w:ascii="Arial" w:hAnsi="Arial" w:eastAsia="Arial" w:cs="Arial"/>
      <w:sz w:val="40"/>
      <w:szCs w:val="40"/>
    </w:rPr>
  </w:style>
  <w:style w:type="paragraph" w:styleId="743">
    <w:name w:val="Heading 2"/>
    <w:basedOn w:val="912"/>
    <w:next w:val="912"/>
    <w:link w:val="744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44">
    <w:name w:val="Heading 2 Char"/>
    <w:basedOn w:val="913"/>
    <w:link w:val="743"/>
    <w:uiPriority w:val="9"/>
    <w:rPr>
      <w:rFonts w:ascii="Arial" w:hAnsi="Arial" w:eastAsia="Arial" w:cs="Arial"/>
      <w:sz w:val="34"/>
    </w:rPr>
  </w:style>
  <w:style w:type="paragraph" w:styleId="745">
    <w:name w:val="Heading 3"/>
    <w:basedOn w:val="912"/>
    <w:next w:val="912"/>
    <w:link w:val="746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46">
    <w:name w:val="Heading 3 Char"/>
    <w:basedOn w:val="913"/>
    <w:link w:val="745"/>
    <w:uiPriority w:val="9"/>
    <w:rPr>
      <w:rFonts w:ascii="Arial" w:hAnsi="Arial" w:eastAsia="Arial" w:cs="Arial"/>
      <w:sz w:val="30"/>
      <w:szCs w:val="30"/>
    </w:rPr>
  </w:style>
  <w:style w:type="paragraph" w:styleId="747">
    <w:name w:val="Heading 4"/>
    <w:basedOn w:val="912"/>
    <w:next w:val="912"/>
    <w:link w:val="748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48">
    <w:name w:val="Heading 4 Char"/>
    <w:basedOn w:val="913"/>
    <w:link w:val="747"/>
    <w:uiPriority w:val="9"/>
    <w:rPr>
      <w:rFonts w:ascii="Arial" w:hAnsi="Arial" w:eastAsia="Arial" w:cs="Arial"/>
      <w:b/>
      <w:bCs/>
      <w:sz w:val="26"/>
      <w:szCs w:val="26"/>
    </w:rPr>
  </w:style>
  <w:style w:type="paragraph" w:styleId="749">
    <w:name w:val="Heading 5"/>
    <w:basedOn w:val="912"/>
    <w:next w:val="912"/>
    <w:link w:val="75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50">
    <w:name w:val="Heading 5 Char"/>
    <w:basedOn w:val="913"/>
    <w:link w:val="749"/>
    <w:uiPriority w:val="9"/>
    <w:rPr>
      <w:rFonts w:ascii="Arial" w:hAnsi="Arial" w:eastAsia="Arial" w:cs="Arial"/>
      <w:b/>
      <w:bCs/>
      <w:sz w:val="24"/>
      <w:szCs w:val="24"/>
    </w:rPr>
  </w:style>
  <w:style w:type="paragraph" w:styleId="751">
    <w:name w:val="Heading 6"/>
    <w:basedOn w:val="912"/>
    <w:next w:val="912"/>
    <w:link w:val="75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52">
    <w:name w:val="Heading 6 Char"/>
    <w:basedOn w:val="913"/>
    <w:link w:val="751"/>
    <w:uiPriority w:val="9"/>
    <w:rPr>
      <w:rFonts w:ascii="Arial" w:hAnsi="Arial" w:eastAsia="Arial" w:cs="Arial"/>
      <w:b/>
      <w:bCs/>
      <w:sz w:val="22"/>
      <w:szCs w:val="22"/>
    </w:rPr>
  </w:style>
  <w:style w:type="paragraph" w:styleId="753">
    <w:name w:val="Heading 7"/>
    <w:basedOn w:val="912"/>
    <w:next w:val="912"/>
    <w:link w:val="75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54">
    <w:name w:val="Heading 7 Char"/>
    <w:basedOn w:val="913"/>
    <w:link w:val="75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55">
    <w:name w:val="Heading 8"/>
    <w:basedOn w:val="912"/>
    <w:next w:val="912"/>
    <w:link w:val="75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56">
    <w:name w:val="Heading 8 Char"/>
    <w:basedOn w:val="913"/>
    <w:link w:val="755"/>
    <w:uiPriority w:val="9"/>
    <w:rPr>
      <w:rFonts w:ascii="Arial" w:hAnsi="Arial" w:eastAsia="Arial" w:cs="Arial"/>
      <w:i/>
      <w:iCs/>
      <w:sz w:val="22"/>
      <w:szCs w:val="22"/>
    </w:rPr>
  </w:style>
  <w:style w:type="paragraph" w:styleId="757">
    <w:name w:val="Heading 9"/>
    <w:basedOn w:val="912"/>
    <w:next w:val="912"/>
    <w:link w:val="75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58">
    <w:name w:val="Heading 9 Char"/>
    <w:basedOn w:val="913"/>
    <w:link w:val="757"/>
    <w:uiPriority w:val="9"/>
    <w:rPr>
      <w:rFonts w:ascii="Arial" w:hAnsi="Arial" w:eastAsia="Arial" w:cs="Arial"/>
      <w:i/>
      <w:iCs/>
      <w:sz w:val="21"/>
      <w:szCs w:val="21"/>
    </w:rPr>
  </w:style>
  <w:style w:type="paragraph" w:styleId="759">
    <w:name w:val="No Spacing"/>
    <w:uiPriority w:val="1"/>
    <w:qFormat/>
    <w:pPr>
      <w:spacing w:before="0" w:after="0" w:line="240" w:lineRule="auto"/>
    </w:pPr>
  </w:style>
  <w:style w:type="paragraph" w:styleId="760">
    <w:name w:val="Title"/>
    <w:basedOn w:val="912"/>
    <w:next w:val="912"/>
    <w:link w:val="76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61">
    <w:name w:val="Title Char"/>
    <w:basedOn w:val="913"/>
    <w:link w:val="760"/>
    <w:uiPriority w:val="10"/>
    <w:rPr>
      <w:sz w:val="48"/>
      <w:szCs w:val="48"/>
    </w:rPr>
  </w:style>
  <w:style w:type="paragraph" w:styleId="762">
    <w:name w:val="Subtitle"/>
    <w:basedOn w:val="912"/>
    <w:next w:val="912"/>
    <w:link w:val="763"/>
    <w:uiPriority w:val="11"/>
    <w:qFormat/>
    <w:pPr>
      <w:spacing w:before="200" w:after="200"/>
    </w:pPr>
    <w:rPr>
      <w:sz w:val="24"/>
      <w:szCs w:val="24"/>
    </w:rPr>
  </w:style>
  <w:style w:type="character" w:styleId="763">
    <w:name w:val="Subtitle Char"/>
    <w:basedOn w:val="913"/>
    <w:link w:val="762"/>
    <w:uiPriority w:val="11"/>
    <w:rPr>
      <w:sz w:val="24"/>
      <w:szCs w:val="24"/>
    </w:rPr>
  </w:style>
  <w:style w:type="paragraph" w:styleId="764">
    <w:name w:val="Quote"/>
    <w:basedOn w:val="912"/>
    <w:next w:val="912"/>
    <w:link w:val="765"/>
    <w:uiPriority w:val="29"/>
    <w:qFormat/>
    <w:pPr>
      <w:ind w:left="720" w:right="720"/>
    </w:pPr>
    <w:rPr>
      <w:i/>
    </w:rPr>
  </w:style>
  <w:style w:type="character" w:styleId="765">
    <w:name w:val="Quote Char"/>
    <w:link w:val="764"/>
    <w:uiPriority w:val="29"/>
    <w:rPr>
      <w:i/>
    </w:rPr>
  </w:style>
  <w:style w:type="paragraph" w:styleId="766">
    <w:name w:val="Intense Quote"/>
    <w:basedOn w:val="912"/>
    <w:next w:val="912"/>
    <w:link w:val="76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67">
    <w:name w:val="Intense Quote Char"/>
    <w:link w:val="766"/>
    <w:uiPriority w:val="30"/>
    <w:rPr>
      <w:i/>
    </w:rPr>
  </w:style>
  <w:style w:type="character" w:styleId="768">
    <w:name w:val="Header Char"/>
    <w:basedOn w:val="913"/>
    <w:link w:val="916"/>
    <w:uiPriority w:val="99"/>
  </w:style>
  <w:style w:type="character" w:styleId="769">
    <w:name w:val="Footer Char"/>
    <w:basedOn w:val="913"/>
    <w:link w:val="923"/>
    <w:uiPriority w:val="99"/>
  </w:style>
  <w:style w:type="paragraph" w:styleId="770">
    <w:name w:val="Caption"/>
    <w:basedOn w:val="912"/>
    <w:next w:val="912"/>
    <w:link w:val="77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71">
    <w:name w:val="Caption Char"/>
    <w:basedOn w:val="770"/>
    <w:link w:val="923"/>
    <w:uiPriority w:val="99"/>
  </w:style>
  <w:style w:type="table" w:styleId="772">
    <w:name w:val="Table Grid Light"/>
    <w:basedOn w:val="91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73">
    <w:name w:val="Plain Table 1"/>
    <w:basedOn w:val="91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4">
    <w:name w:val="Plain Table 2"/>
    <w:basedOn w:val="91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5">
    <w:name w:val="Plain Table 3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76">
    <w:name w:val="Plain Table 4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Plain Table 5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78">
    <w:name w:val="Grid Table 1 Light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Grid Table 1 Light - Accent 1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Grid Table 1 Light - Accent 2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Grid Table 1 Light - Accent 3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Grid Table 1 Light - Accent 4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Grid Table 1 Light - Accent 5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Grid Table 1 Light - Accent 6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Grid Table 2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Grid Table 2 - Accent 1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Grid Table 2 - Accent 2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Grid Table 2 - Accent 3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Grid Table 2 - Accent 4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Grid Table 2 - Accent 5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Grid Table 2 - Accent 6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Grid Table 3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Grid Table 3 - Accent 1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Grid Table 3 - Accent 2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Grid Table 3 - Accent 3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Grid Table 3 - Accent 4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Grid Table 3 - Accent 5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Grid Table 3 - Accent 6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Grid Table 4"/>
    <w:basedOn w:val="91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00">
    <w:name w:val="Grid Table 4 - Accent 1"/>
    <w:basedOn w:val="91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01">
    <w:name w:val="Grid Table 4 - Accent 2"/>
    <w:basedOn w:val="91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2">
    <w:name w:val="Grid Table 4 - Accent 3"/>
    <w:basedOn w:val="91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3">
    <w:name w:val="Grid Table 4 - Accent 4"/>
    <w:basedOn w:val="91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04">
    <w:name w:val="Grid Table 4 - Accent 5"/>
    <w:basedOn w:val="91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05">
    <w:name w:val="Grid Table 4 - Accent 6"/>
    <w:basedOn w:val="91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06">
    <w:name w:val="Grid Table 5 Dark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07">
    <w:name w:val="Grid Table 5 Dark- Accent 1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08">
    <w:name w:val="Grid Table 5 Dark - Accent 2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09">
    <w:name w:val="Grid Table 5 Dark - Accent 3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10">
    <w:name w:val="Grid Table 5 Dark- Accent 4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11">
    <w:name w:val="Grid Table 5 Dark - Accent 5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12">
    <w:name w:val="Grid Table 5 Dark - Accent 6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13">
    <w:name w:val="Grid Table 6 Colorful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14">
    <w:name w:val="Grid Table 6 Colorful - Accent 1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15">
    <w:name w:val="Grid Table 6 Colorful - Accent 2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16">
    <w:name w:val="Grid Table 6 Colorful - Accent 3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17">
    <w:name w:val="Grid Table 6 Colorful - Accent 4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18">
    <w:name w:val="Grid Table 6 Colorful - Accent 5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19">
    <w:name w:val="Grid Table 6 Colorful - Accent 6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20">
    <w:name w:val="Grid Table 7 Colorful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>
    <w:name w:val="Grid Table 7 Colorful - Accent 1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>
    <w:name w:val="Grid Table 7 Colorful - Accent 2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>
    <w:name w:val="Grid Table 7 Colorful - Accent 3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>
    <w:name w:val="Grid Table 7 Colorful - Accent 4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>
    <w:name w:val="Grid Table 7 Colorful - Accent 5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>
    <w:name w:val="Grid Table 7 Colorful - Accent 6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>
    <w:name w:val="List Table 1 Light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>
    <w:name w:val="List Table 1 Light - Accent 1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>
    <w:name w:val="List Table 1 Light - Accent 2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>
    <w:name w:val="List Table 1 Light - Accent 3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>
    <w:name w:val="List Table 1 Light - Accent 4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>
    <w:name w:val="List Table 1 Light - Accent 5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>
    <w:name w:val="List Table 1 Light - Accent 6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>
    <w:name w:val="List Table 2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35">
    <w:name w:val="List Table 2 - Accent 1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36">
    <w:name w:val="List Table 2 - Accent 2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37">
    <w:name w:val="List Table 2 - Accent 3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38">
    <w:name w:val="List Table 2 - Accent 4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39">
    <w:name w:val="List Table 2 - Accent 5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40">
    <w:name w:val="List Table 2 - Accent 6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41">
    <w:name w:val="List Table 3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>
    <w:name w:val="List Table 3 - Accent 1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>
    <w:name w:val="List Table 3 - Accent 2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>
    <w:name w:val="List Table 3 - Accent 3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>
    <w:name w:val="List Table 3 - Accent 4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>
    <w:name w:val="List Table 3 - Accent 5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>
    <w:name w:val="List Table 3 - Accent 6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>
    <w:name w:val="List Table 4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>
    <w:name w:val="List Table 4 - Accent 1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>
    <w:name w:val="List Table 4 - Accent 2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>
    <w:name w:val="List Table 4 - Accent 3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>
    <w:name w:val="List Table 4 - Accent 4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>
    <w:name w:val="List Table 4 - Accent 5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>
    <w:name w:val="List Table 4 - Accent 6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>
    <w:name w:val="List Table 5 Dark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6">
    <w:name w:val="List Table 5 Dark - Accent 1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7">
    <w:name w:val="List Table 5 Dark - Accent 2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8">
    <w:name w:val="List Table 5 Dark - Accent 3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9">
    <w:name w:val="List Table 5 Dark - Accent 4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0">
    <w:name w:val="List Table 5 Dark - Accent 5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1">
    <w:name w:val="List Table 5 Dark - Accent 6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2">
    <w:name w:val="List Table 6 Colorful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63">
    <w:name w:val="List Table 6 Colorful - Accent 1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64">
    <w:name w:val="List Table 6 Colorful - Accent 2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65">
    <w:name w:val="List Table 6 Colorful - Accent 3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66">
    <w:name w:val="List Table 6 Colorful - Accent 4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67">
    <w:name w:val="List Table 6 Colorful - Accent 5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68">
    <w:name w:val="List Table 6 Colorful - Accent 6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69">
    <w:name w:val="List Table 7 Colorful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70">
    <w:name w:val="List Table 7 Colorful - Accent 1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71">
    <w:name w:val="List Table 7 Colorful - Accent 2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72">
    <w:name w:val="List Table 7 Colorful - Accent 3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73">
    <w:name w:val="List Table 7 Colorful - Accent 4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74">
    <w:name w:val="List Table 7 Colorful - Accent 5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75">
    <w:name w:val="List Table 7 Colorful - Accent 6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76">
    <w:name w:val="Lined - Accent"/>
    <w:basedOn w:val="9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77">
    <w:name w:val="Lined - Accent 1"/>
    <w:basedOn w:val="9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78">
    <w:name w:val="Lined - Accent 2"/>
    <w:basedOn w:val="9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79">
    <w:name w:val="Lined - Accent 3"/>
    <w:basedOn w:val="9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80">
    <w:name w:val="Lined - Accent 4"/>
    <w:basedOn w:val="9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81">
    <w:name w:val="Lined - Accent 5"/>
    <w:basedOn w:val="9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82">
    <w:name w:val="Lined - Accent 6"/>
    <w:basedOn w:val="9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83">
    <w:name w:val="Bordered &amp; Lined - Accent"/>
    <w:basedOn w:val="9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84">
    <w:name w:val="Bordered &amp; Lined - Accent 1"/>
    <w:basedOn w:val="9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85">
    <w:name w:val="Bordered &amp; Lined - Accent 2"/>
    <w:basedOn w:val="9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86">
    <w:name w:val="Bordered &amp; Lined - Accent 3"/>
    <w:basedOn w:val="9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87">
    <w:name w:val="Bordered &amp; Lined - Accent 4"/>
    <w:basedOn w:val="9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88">
    <w:name w:val="Bordered &amp; Lined - Accent 5"/>
    <w:basedOn w:val="9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89">
    <w:name w:val="Bordered &amp; Lined - Accent 6"/>
    <w:basedOn w:val="9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90">
    <w:name w:val="Bordered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91">
    <w:name w:val="Bordered - Accent 1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92">
    <w:name w:val="Bordered - Accent 2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93">
    <w:name w:val="Bordered - Accent 3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94">
    <w:name w:val="Bordered - Accent 4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95">
    <w:name w:val="Bordered - Accent 5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96">
    <w:name w:val="Bordered - Accent 6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97">
    <w:name w:val="Footnote Text Char"/>
    <w:link w:val="925"/>
    <w:uiPriority w:val="99"/>
    <w:rPr>
      <w:sz w:val="18"/>
    </w:rPr>
  </w:style>
  <w:style w:type="paragraph" w:styleId="898">
    <w:name w:val="endnote text"/>
    <w:basedOn w:val="912"/>
    <w:link w:val="899"/>
    <w:uiPriority w:val="99"/>
    <w:semiHidden/>
    <w:unhideWhenUsed/>
    <w:pPr>
      <w:spacing w:after="0" w:line="240" w:lineRule="auto"/>
    </w:pPr>
    <w:rPr>
      <w:sz w:val="20"/>
    </w:rPr>
  </w:style>
  <w:style w:type="character" w:styleId="899">
    <w:name w:val="Endnote Text Char"/>
    <w:link w:val="898"/>
    <w:uiPriority w:val="99"/>
    <w:rPr>
      <w:sz w:val="20"/>
    </w:rPr>
  </w:style>
  <w:style w:type="character" w:styleId="900">
    <w:name w:val="endnote reference"/>
    <w:basedOn w:val="913"/>
    <w:uiPriority w:val="99"/>
    <w:semiHidden/>
    <w:unhideWhenUsed/>
    <w:rPr>
      <w:vertAlign w:val="superscript"/>
    </w:rPr>
  </w:style>
  <w:style w:type="paragraph" w:styleId="901">
    <w:name w:val="toc 1"/>
    <w:basedOn w:val="912"/>
    <w:next w:val="912"/>
    <w:uiPriority w:val="39"/>
    <w:unhideWhenUsed/>
    <w:pPr>
      <w:ind w:left="0" w:right="0" w:firstLine="0"/>
      <w:spacing w:after="57"/>
    </w:pPr>
  </w:style>
  <w:style w:type="paragraph" w:styleId="902">
    <w:name w:val="toc 2"/>
    <w:basedOn w:val="912"/>
    <w:next w:val="912"/>
    <w:uiPriority w:val="39"/>
    <w:unhideWhenUsed/>
    <w:pPr>
      <w:ind w:left="283" w:right="0" w:firstLine="0"/>
      <w:spacing w:after="57"/>
    </w:pPr>
  </w:style>
  <w:style w:type="paragraph" w:styleId="903">
    <w:name w:val="toc 3"/>
    <w:basedOn w:val="912"/>
    <w:next w:val="912"/>
    <w:uiPriority w:val="39"/>
    <w:unhideWhenUsed/>
    <w:pPr>
      <w:ind w:left="567" w:right="0" w:firstLine="0"/>
      <w:spacing w:after="57"/>
    </w:pPr>
  </w:style>
  <w:style w:type="paragraph" w:styleId="904">
    <w:name w:val="toc 4"/>
    <w:basedOn w:val="912"/>
    <w:next w:val="912"/>
    <w:uiPriority w:val="39"/>
    <w:unhideWhenUsed/>
    <w:pPr>
      <w:ind w:left="850" w:right="0" w:firstLine="0"/>
      <w:spacing w:after="57"/>
    </w:pPr>
  </w:style>
  <w:style w:type="paragraph" w:styleId="905">
    <w:name w:val="toc 5"/>
    <w:basedOn w:val="912"/>
    <w:next w:val="912"/>
    <w:uiPriority w:val="39"/>
    <w:unhideWhenUsed/>
    <w:pPr>
      <w:ind w:left="1134" w:right="0" w:firstLine="0"/>
      <w:spacing w:after="57"/>
    </w:pPr>
  </w:style>
  <w:style w:type="paragraph" w:styleId="906">
    <w:name w:val="toc 6"/>
    <w:basedOn w:val="912"/>
    <w:next w:val="912"/>
    <w:uiPriority w:val="39"/>
    <w:unhideWhenUsed/>
    <w:pPr>
      <w:ind w:left="1417" w:right="0" w:firstLine="0"/>
      <w:spacing w:after="57"/>
    </w:pPr>
  </w:style>
  <w:style w:type="paragraph" w:styleId="907">
    <w:name w:val="toc 7"/>
    <w:basedOn w:val="912"/>
    <w:next w:val="912"/>
    <w:uiPriority w:val="39"/>
    <w:unhideWhenUsed/>
    <w:pPr>
      <w:ind w:left="1701" w:right="0" w:firstLine="0"/>
      <w:spacing w:after="57"/>
    </w:pPr>
  </w:style>
  <w:style w:type="paragraph" w:styleId="908">
    <w:name w:val="toc 8"/>
    <w:basedOn w:val="912"/>
    <w:next w:val="912"/>
    <w:uiPriority w:val="39"/>
    <w:unhideWhenUsed/>
    <w:pPr>
      <w:ind w:left="1984" w:right="0" w:firstLine="0"/>
      <w:spacing w:after="57"/>
    </w:pPr>
  </w:style>
  <w:style w:type="paragraph" w:styleId="909">
    <w:name w:val="toc 9"/>
    <w:basedOn w:val="912"/>
    <w:next w:val="912"/>
    <w:uiPriority w:val="39"/>
    <w:unhideWhenUsed/>
    <w:pPr>
      <w:ind w:left="2268" w:right="0" w:firstLine="0"/>
      <w:spacing w:after="57"/>
    </w:pPr>
  </w:style>
  <w:style w:type="paragraph" w:styleId="910">
    <w:name w:val="TOC Heading"/>
    <w:uiPriority w:val="39"/>
    <w:unhideWhenUsed/>
  </w:style>
  <w:style w:type="paragraph" w:styleId="911">
    <w:name w:val="table of figures"/>
    <w:basedOn w:val="912"/>
    <w:next w:val="912"/>
    <w:uiPriority w:val="99"/>
    <w:unhideWhenUsed/>
    <w:pPr>
      <w:spacing w:after="0" w:afterAutospacing="0"/>
    </w:pPr>
  </w:style>
  <w:style w:type="paragraph" w:styleId="912" w:default="1">
    <w:name w:val="Normal"/>
    <w:qFormat/>
    <w:rPr>
      <w:rFonts w:ascii="Geneva CY" w:hAnsi="Geneva CY" w:eastAsia="Geneva"/>
      <w:sz w:val="24"/>
      <w:lang w:val="ru-RU" w:eastAsia="en-US"/>
    </w:rPr>
  </w:style>
  <w:style w:type="character" w:styleId="913" w:default="1">
    <w:name w:val="Default Paragraph Font"/>
    <w:uiPriority w:val="1"/>
    <w:semiHidden/>
    <w:unhideWhenUsed/>
  </w:style>
  <w:style w:type="table" w:styleId="91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15" w:default="1">
    <w:name w:val="No List"/>
    <w:uiPriority w:val="99"/>
    <w:semiHidden/>
    <w:unhideWhenUsed/>
  </w:style>
  <w:style w:type="paragraph" w:styleId="916">
    <w:name w:val="Header"/>
    <w:basedOn w:val="912"/>
    <w:link w:val="917"/>
    <w:uiPriority w:val="99"/>
    <w:pPr>
      <w:tabs>
        <w:tab w:val="center" w:pos="4320" w:leader="none"/>
        <w:tab w:val="right" w:pos="8640" w:leader="none"/>
      </w:tabs>
    </w:pPr>
  </w:style>
  <w:style w:type="character" w:styleId="917" w:customStyle="1">
    <w:name w:val="Верхний колонтитул Знак"/>
    <w:link w:val="916"/>
    <w:uiPriority w:val="99"/>
    <w:rPr>
      <w:rFonts w:ascii="Geneva CY" w:hAnsi="Geneva CY" w:eastAsia="Geneva" w:cs="Times New Roman"/>
      <w:szCs w:val="20"/>
      <w:lang w:val="ru-RU" w:eastAsia="en-US"/>
    </w:rPr>
  </w:style>
  <w:style w:type="character" w:styleId="918">
    <w:name w:val="page number"/>
    <w:basedOn w:val="913"/>
  </w:style>
  <w:style w:type="paragraph" w:styleId="919">
    <w:name w:val="Balloon Text"/>
    <w:basedOn w:val="912"/>
    <w:link w:val="920"/>
    <w:uiPriority w:val="99"/>
    <w:semiHidden/>
    <w:unhideWhenUsed/>
    <w:rPr>
      <w:rFonts w:ascii="Lucida Grande" w:hAnsi="Lucida Grande"/>
      <w:sz w:val="18"/>
      <w:szCs w:val="18"/>
    </w:rPr>
  </w:style>
  <w:style w:type="character" w:styleId="920" w:customStyle="1">
    <w:name w:val="Текст выноски Знак"/>
    <w:link w:val="919"/>
    <w:uiPriority w:val="99"/>
    <w:semiHidden/>
    <w:rPr>
      <w:rFonts w:ascii="Lucida Grande" w:hAnsi="Lucida Grande" w:eastAsia="Geneva" w:cs="Times New Roman"/>
      <w:sz w:val="18"/>
      <w:szCs w:val="18"/>
      <w:lang w:val="ru-RU" w:eastAsia="en-US"/>
    </w:rPr>
  </w:style>
  <w:style w:type="character" w:styleId="921">
    <w:name w:val="Hyperlink"/>
    <w:basedOn w:val="913"/>
    <w:uiPriority w:val="99"/>
    <w:unhideWhenUsed/>
    <w:rPr>
      <w:color w:val="0000ff" w:themeColor="hyperlink"/>
      <w:u w:val="single"/>
    </w:rPr>
  </w:style>
  <w:style w:type="paragraph" w:styleId="922">
    <w:name w:val="List Paragraph"/>
    <w:basedOn w:val="912"/>
    <w:uiPriority w:val="34"/>
    <w:qFormat/>
    <w:pPr>
      <w:contextualSpacing/>
      <w:ind w:left="720"/>
    </w:pPr>
  </w:style>
  <w:style w:type="paragraph" w:styleId="923">
    <w:name w:val="Footer"/>
    <w:basedOn w:val="912"/>
    <w:link w:val="924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24" w:customStyle="1">
    <w:name w:val="Нижний колонтитул Знак"/>
    <w:basedOn w:val="913"/>
    <w:link w:val="923"/>
    <w:uiPriority w:val="99"/>
    <w:rPr>
      <w:rFonts w:ascii="Geneva CY" w:hAnsi="Geneva CY" w:eastAsia="Geneva"/>
      <w:sz w:val="24"/>
      <w:lang w:val="ru-RU" w:eastAsia="en-US"/>
    </w:rPr>
  </w:style>
  <w:style w:type="paragraph" w:styleId="925">
    <w:name w:val="footnote text"/>
    <w:basedOn w:val="912"/>
    <w:link w:val="926"/>
    <w:uiPriority w:val="99"/>
    <w:unhideWhenUsed/>
    <w:qFormat/>
    <w:rPr>
      <w:sz w:val="20"/>
    </w:rPr>
  </w:style>
  <w:style w:type="character" w:styleId="926" w:customStyle="1">
    <w:name w:val="Текст сноски Знак"/>
    <w:basedOn w:val="913"/>
    <w:link w:val="925"/>
    <w:uiPriority w:val="99"/>
    <w:rPr>
      <w:rFonts w:ascii="Geneva CY" w:hAnsi="Geneva CY" w:eastAsia="Geneva"/>
      <w:lang w:val="ru-RU" w:eastAsia="en-US"/>
    </w:rPr>
  </w:style>
  <w:style w:type="character" w:styleId="927">
    <w:name w:val="footnote reference"/>
    <w:basedOn w:val="913"/>
    <w:uiPriority w:val="99"/>
    <w:unhideWhenUsed/>
    <w:rPr>
      <w:vertAlign w:val="superscript"/>
    </w:rPr>
  </w:style>
  <w:style w:type="paragraph" w:styleId="928">
    <w:name w:val="Normal (Web)"/>
    <w:basedOn w:val="912"/>
    <w:uiPriority w:val="99"/>
    <w:unhideWhenUsed/>
    <w:qFormat/>
    <w:pPr>
      <w:spacing w:before="100" w:beforeAutospacing="1" w:after="100" w:afterAutospacing="1"/>
    </w:pPr>
    <w:rPr>
      <w:rFonts w:ascii="Times New Roman" w:hAnsi="Times New Roman" w:eastAsia="Times New Roman"/>
      <w:szCs w:val="24"/>
      <w:lang w:eastAsia="ru-RU"/>
    </w:rPr>
  </w:style>
  <w:style w:type="table" w:styleId="929" w:customStyle="1">
    <w:name w:val="Сетка таблицы1"/>
    <w:basedOn w:val="914"/>
    <w:next w:val="930"/>
    <w:uiPriority w:val="59"/>
    <w:pPr>
      <w:jc w:val="both"/>
    </w:pPr>
    <w:rPr>
      <w:rFonts w:ascii="Times New Roman" w:hAnsi="Times New Roman" w:eastAsia="Calibri"/>
      <w:sz w:val="26"/>
      <w:szCs w:val="26"/>
      <w:lang w:val="ru-RU"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30">
    <w:name w:val="Table Grid"/>
    <w:basedOn w:val="914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31" w:customStyle="1">
    <w:name w:val="Сетка таблицы2"/>
    <w:basedOn w:val="914"/>
    <w:next w:val="930"/>
    <w:uiPriority w:val="39"/>
    <w:rPr>
      <w:rFonts w:ascii="Calibri" w:hAnsi="Calibri" w:eastAsia="Calibri"/>
      <w:sz w:val="22"/>
      <w:szCs w:val="22"/>
      <w:lang w:val="ru-RU"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7C8A49-7424-49E7-8EBE-CB91F49FD1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DGK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Andrey Zhurin</dc:creator>
  <cp:lastModifiedBy>nekhoroshikh_na@DGK.RU</cp:lastModifiedBy>
  <cp:revision>31</cp:revision>
  <dcterms:created xsi:type="dcterms:W3CDTF">2024-01-05T05:12:00Z</dcterms:created>
  <dcterms:modified xsi:type="dcterms:W3CDTF">2026-06-15T08:28:30Z</dcterms:modified>
</cp:coreProperties>
</file>